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2" w:rsidRPr="006E6865" w:rsidRDefault="00D61E52" w:rsidP="006E6865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 w:rsidRPr="006E686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15.5pt">
            <v:imagedata r:id="rId5" o:title=""/>
          </v:shape>
        </w:pict>
      </w:r>
    </w:p>
    <w:p w:rsidR="00D61E52" w:rsidRDefault="00D61E52" w:rsidP="00783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E52" w:rsidRPr="00E65E5E" w:rsidRDefault="00D61E52" w:rsidP="00BB5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ПЕРЕДМОВА</w:t>
      </w:r>
    </w:p>
    <w:p w:rsidR="00D61E52" w:rsidRDefault="00D61E52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1E52" w:rsidRPr="00E65E5E" w:rsidRDefault="00D61E52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>Освітньо-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наукова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«Ботаніка» з підготовки фахівців другого (магістерського) рівня вищої освіти 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>є нормативним документом, який регламентує нормативні, компетентн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стні, кваліфікаційні, організаційні, навчальні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вимоги у підготовці магістрів. </w:t>
      </w:r>
    </w:p>
    <w:p w:rsidR="00D61E52" w:rsidRPr="004A206F" w:rsidRDefault="00D61E52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6F">
        <w:rPr>
          <w:rFonts w:ascii="Times New Roman" w:hAnsi="Times New Roman" w:cs="Times New Roman"/>
          <w:color w:val="000000"/>
          <w:sz w:val="28"/>
          <w:szCs w:val="28"/>
        </w:rPr>
        <w:t>Освітньо-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наукова</w:t>
      </w:r>
      <w:r w:rsidRPr="004A206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 розроблена робочою групою у складі: </w:t>
      </w:r>
    </w:p>
    <w:p w:rsidR="00D61E52" w:rsidRPr="007771EA" w:rsidRDefault="00D61E52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7771EA">
        <w:rPr>
          <w:rFonts w:ascii="Times New Roman" w:hAnsi="Times New Roman" w:cs="Times New Roman"/>
          <w:b/>
          <w:bCs/>
          <w:sz w:val="28"/>
          <w:szCs w:val="28"/>
        </w:rPr>
        <w:t xml:space="preserve">Мойсієнко Іван Іванович, </w:t>
      </w:r>
      <w:r w:rsidRPr="007771EA">
        <w:rPr>
          <w:rFonts w:ascii="Times New Roman" w:hAnsi="Times New Roman" w:cs="Times New Roman"/>
          <w:sz w:val="28"/>
          <w:szCs w:val="28"/>
        </w:rPr>
        <w:t>доктор біологічних наук, професор, завідувач кафедри ботаніки</w:t>
      </w:r>
    </w:p>
    <w:p w:rsidR="00D61E52" w:rsidRPr="007771EA" w:rsidRDefault="00D61E52" w:rsidP="00124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71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Загороднюк Наталія Володимирівна, </w:t>
      </w:r>
      <w:r w:rsidRPr="007771EA">
        <w:rPr>
          <w:rFonts w:ascii="Times New Roman" w:hAnsi="Times New Roman" w:cs="Times New Roman"/>
          <w:sz w:val="28"/>
          <w:szCs w:val="28"/>
        </w:rPr>
        <w:t>кандидат біологічних наук, доцент кафедри ботаніки</w:t>
      </w:r>
    </w:p>
    <w:p w:rsidR="00D61E52" w:rsidRPr="007771EA" w:rsidRDefault="00D61E52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7771EA">
        <w:rPr>
          <w:rFonts w:ascii="Times New Roman" w:hAnsi="Times New Roman" w:cs="Times New Roman"/>
          <w:b/>
          <w:bCs/>
          <w:sz w:val="28"/>
          <w:szCs w:val="28"/>
        </w:rPr>
        <w:t xml:space="preserve">Ходосовцев Олександр Євгенович, </w:t>
      </w:r>
      <w:r w:rsidRPr="007771EA">
        <w:rPr>
          <w:rFonts w:ascii="Times New Roman" w:hAnsi="Times New Roman" w:cs="Times New Roman"/>
          <w:sz w:val="28"/>
          <w:szCs w:val="28"/>
        </w:rPr>
        <w:t>доктор біологічних наук, професор, професор кафедри ботаніки</w:t>
      </w:r>
    </w:p>
    <w:p w:rsidR="00D61E52" w:rsidRPr="007771EA" w:rsidRDefault="00D61E52" w:rsidP="00BB5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Pr="00E65E5E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5E">
        <w:rPr>
          <w:rFonts w:ascii="Times New Roman" w:hAnsi="Times New Roman" w:cs="Times New Roman"/>
          <w:color w:val="000000"/>
          <w:sz w:val="28"/>
          <w:szCs w:val="28"/>
        </w:rPr>
        <w:t>Ця освітньо-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наукова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 не може бути повністю або частково відтворена, тиражована та розповсюджена без дозволу </w:t>
      </w:r>
      <w:r>
        <w:rPr>
          <w:rFonts w:ascii="Times New Roman" w:hAnsi="Times New Roman" w:cs="Times New Roman"/>
          <w:color w:val="000000"/>
          <w:sz w:val="28"/>
          <w:szCs w:val="28"/>
        </w:rPr>
        <w:t>Херсонського</w:t>
      </w:r>
      <w:r w:rsidRPr="00E65E5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університету.</w:t>
      </w:r>
    </w:p>
    <w:p w:rsidR="00D61E52" w:rsidRPr="00E65E5E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Pr="00E65E5E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Pr="00E65E5E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Pr="00E65E5E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Pr="00E65E5E" w:rsidRDefault="00D61E52" w:rsidP="0058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52" w:rsidRDefault="00D61E52" w:rsidP="0058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Рецензії – відгуки зовнішніх стейкголдерів:</w:t>
      </w:r>
    </w:p>
    <w:p w:rsidR="00D61E52" w:rsidRPr="00E65E5E" w:rsidRDefault="00D61E52" w:rsidP="0058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Лагутіна Ганна Григорівна – в.о. головного лікаря Херсонського обласного центру служби крові.</w:t>
      </w:r>
    </w:p>
    <w:p w:rsidR="00D61E52" w:rsidRDefault="00D61E52" w:rsidP="0058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Марковська Олена Ігорівна – доцент, к.с-г.н., в.о. завідувача кафедри ботаніки та захисту рослин Херсонського державного аграрного університету.</w:t>
      </w:r>
    </w:p>
    <w:p w:rsidR="00D61E52" w:rsidRDefault="00D61E52" w:rsidP="00584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1. Профіль освітньо-наукової</w:t>
      </w:r>
      <w:r w:rsidRPr="00D7020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70203">
        <w:rPr>
          <w:rFonts w:ascii="Times New Roman" w:hAnsi="Times New Roman" w:cs="Times New Roman"/>
          <w:b/>
          <w:bCs/>
          <w:sz w:val="28"/>
          <w:szCs w:val="28"/>
        </w:rPr>
        <w:t>Бо</w:t>
      </w:r>
      <w:r>
        <w:rPr>
          <w:rFonts w:ascii="Times New Roman" w:hAnsi="Times New Roman" w:cs="Times New Roman"/>
          <w:b/>
          <w:bCs/>
          <w:sz w:val="28"/>
          <w:szCs w:val="28"/>
        </w:rPr>
        <w:t>таніка»</w:t>
      </w:r>
    </w:p>
    <w:p w:rsidR="00D61E52" w:rsidRPr="00D70203" w:rsidRDefault="00D61E52" w:rsidP="00584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спеціальності 091 Біологія</w:t>
      </w:r>
    </w:p>
    <w:p w:rsidR="00D61E52" w:rsidRPr="00D70203" w:rsidRDefault="00D61E52" w:rsidP="00BB56E4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D61E52" w:rsidRPr="005437E5">
        <w:tc>
          <w:tcPr>
            <w:tcW w:w="9571" w:type="dxa"/>
            <w:gridSpan w:val="3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5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університет, факультет біології, географії і екології, кафедра ботаніки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біології людини і імунології</w:t>
            </w:r>
          </w:p>
        </w:tc>
      </w:tr>
      <w:tr w:rsidR="00D61E52" w:rsidRPr="005437E5">
        <w:tc>
          <w:tcPr>
            <w:tcW w:w="1643" w:type="dxa"/>
          </w:tcPr>
          <w:p w:rsidR="00D61E52" w:rsidRPr="00584D99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D61E52" w:rsidRDefault="00D61E52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Магістр.</w:t>
            </w:r>
          </w:p>
          <w:p w:rsidR="00D61E52" w:rsidRPr="00584D99" w:rsidRDefault="00D61E52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Біолог. Молодший науковий співробітник (Ботаніка). Викладач закладу вищої освіти.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D61E52" w:rsidRPr="00584D99" w:rsidRDefault="00D61E52" w:rsidP="005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Освітньо-наукова програма </w:t>
            </w:r>
            <w:r w:rsidRPr="0058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«Ботаніка» другого (магістерського) рівня вищої освіти </w:t>
            </w: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за спеціальністю 091 Біологія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магістра, одиничний,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кредитів ЄКТС, </w:t>
            </w:r>
          </w:p>
          <w:p w:rsidR="00D61E52" w:rsidRPr="00742628" w:rsidRDefault="00D61E52" w:rsidP="006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1 рік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місяців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явність 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:rsidR="00D61E52" w:rsidRPr="008A200C" w:rsidRDefault="00D61E52" w:rsidP="00A7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серія НД № 2288972 </w:t>
            </w:r>
          </w:p>
          <w:p w:rsidR="00D61E52" w:rsidRPr="00742628" w:rsidRDefault="00D61E52" w:rsidP="00A7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C">
              <w:rPr>
                <w:rFonts w:ascii="Times New Roman" w:hAnsi="Times New Roman" w:cs="Times New Roman"/>
                <w:sz w:val="24"/>
                <w:szCs w:val="24"/>
              </w:rPr>
              <w:t>термін дії до 1 липня 2019 р.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6E1A3F">
            <w:pPr>
              <w:pStyle w:val="Default"/>
              <w:jc w:val="center"/>
              <w:rPr>
                <w:color w:val="auto"/>
                <w:lang w:val="uk-UA"/>
              </w:rPr>
            </w:pPr>
            <w:r w:rsidRPr="00742628">
              <w:rPr>
                <w:color w:val="auto"/>
                <w:lang w:val="uk-UA"/>
              </w:rPr>
              <w:t xml:space="preserve">НРК України–7 рівень, </w:t>
            </w:r>
            <w:r w:rsidRPr="00742628">
              <w:rPr>
                <w:color w:val="auto"/>
              </w:rPr>
              <w:t>EQ</w:t>
            </w:r>
            <w:r w:rsidRPr="00742628">
              <w:rPr>
                <w:color w:val="auto"/>
                <w:lang w:val="uk-UA"/>
              </w:rPr>
              <w:t>-</w:t>
            </w:r>
            <w:r w:rsidRPr="00742628">
              <w:rPr>
                <w:color w:val="auto"/>
              </w:rPr>
              <w:t>EHEA</w:t>
            </w:r>
            <w:r w:rsidRPr="00742628">
              <w:rPr>
                <w:color w:val="auto"/>
                <w:lang w:val="uk-UA"/>
              </w:rPr>
              <w:t xml:space="preserve"> – другий цикл, </w:t>
            </w:r>
            <w:r w:rsidRPr="00742628">
              <w:rPr>
                <w:color w:val="auto"/>
              </w:rPr>
              <w:t>EQFLLL</w:t>
            </w:r>
            <w:r w:rsidRPr="00742628">
              <w:rPr>
                <w:color w:val="auto"/>
                <w:lang w:val="uk-UA"/>
              </w:rPr>
              <w:t xml:space="preserve"> – 7 рівень 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1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  <w:p w:rsidR="00D61E52" w:rsidRPr="00742628" w:rsidRDefault="00D61E52" w:rsidP="0012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липня  2019 року</w:t>
            </w:r>
          </w:p>
        </w:tc>
      </w:tr>
      <w:tr w:rsidR="00D61E52" w:rsidRPr="005437E5">
        <w:tc>
          <w:tcPr>
            <w:tcW w:w="1643" w:type="dxa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846">
              <w:rPr>
                <w:rFonts w:ascii="Times New Roman" w:hAnsi="Times New Roman" w:cs="Times New Roman"/>
                <w:sz w:val="24"/>
                <w:szCs w:val="24"/>
              </w:rPr>
              <w:t>http://www.kspu.edu/About/Faculty/Faculty_of_biolog_geograf_ecol/ChairBotany.aspx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742628" w:rsidRDefault="00D61E52" w:rsidP="0023012D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Поглиблена фундаментальна, спеціалізована та практична підготовка магістрів у галузі біології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(ботаніки)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D61E52" w:rsidRPr="005437E5">
        <w:tc>
          <w:tcPr>
            <w:tcW w:w="17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D61E52" w:rsidRPr="00742628" w:rsidRDefault="00D61E52" w:rsidP="00584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36">
              <w:rPr>
                <w:rFonts w:ascii="Times New Roman" w:hAnsi="Times New Roman" w:cs="Times New Roman"/>
                <w:sz w:val="24"/>
                <w:szCs w:val="24"/>
              </w:rPr>
              <w:t>Загальні закономірності будови і функціонування біологічних систем різного рівня організації, їх взаємодії з навколишнім середовищем, реакції за різних умов існування, а також на різних стадіях онтогенезу і філогенезу; біорізноманіття та еволюція живих систем; значення живих істот у біосферних процесах, біотехнологіях, господарстві, охороні здоров’я, охороні навколишнього середовища та раціональному природокористуванні.</w:t>
            </w:r>
          </w:p>
        </w:tc>
      </w:tr>
      <w:tr w:rsidR="00D61E52" w:rsidRPr="005437E5">
        <w:tc>
          <w:tcPr>
            <w:tcW w:w="1728" w:type="dxa"/>
            <w:gridSpan w:val="2"/>
          </w:tcPr>
          <w:p w:rsidR="00D61E52" w:rsidRPr="00742628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D61E52" w:rsidRPr="00742628" w:rsidRDefault="00D61E52" w:rsidP="00742628">
            <w:pPr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Освітньо-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>підготовк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магістра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має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як фундаментальний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628">
              <w:rPr>
                <w:rFonts w:ascii="Times New Roman" w:hAnsi="Times New Roman" w:cs="Times New Roman"/>
                <w:sz w:val="24"/>
                <w:szCs w:val="24"/>
              </w:rPr>
              <w:t xml:space="preserve"> так і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науки і освіти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кар’єра здобувача</w:t>
            </w:r>
          </w:p>
        </w:tc>
      </w:tr>
      <w:tr w:rsidR="00D61E52" w:rsidRPr="005437E5">
        <w:tc>
          <w:tcPr>
            <w:tcW w:w="1728" w:type="dxa"/>
            <w:gridSpan w:val="2"/>
          </w:tcPr>
          <w:p w:rsidR="00D61E52" w:rsidRPr="00124362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D61E52" w:rsidRPr="00124362" w:rsidRDefault="00D61E52" w:rsidP="00115627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які б мали глибокі міцні знання для виконання професійних завдань та обов’язків науково-дослідницького, освітнього та інноваційного характеру в галузі сучасної біологічної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ботанічної 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>науки, здійснення поглибленої фундаментальної, спеціалізованої та практичної підготовки магістрів у галузі біології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ботаніки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Програма дозволяє всебічно вивчити специфіку освітньої сфери, робити акцент на здобутті різнопланових знань, вмінь і навичок у сфері біологічної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ботанічної </w:t>
            </w:r>
            <w:r w:rsidRPr="00124362">
              <w:rPr>
                <w:rFonts w:ascii="Times New Roman" w:hAnsi="Times New Roman" w:cs="Times New Roman"/>
                <w:sz w:val="24"/>
                <w:szCs w:val="24"/>
              </w:rPr>
              <w:t xml:space="preserve">науки, що передбачає визначену зайнятість, можливість подальшої освіти та кар’єрного зростання </w:t>
            </w:r>
          </w:p>
        </w:tc>
      </w:tr>
      <w:tr w:rsidR="00D61E52" w:rsidRPr="005437E5">
        <w:tc>
          <w:tcPr>
            <w:tcW w:w="1728" w:type="dxa"/>
            <w:gridSpan w:val="2"/>
          </w:tcPr>
          <w:p w:rsidR="00D61E52" w:rsidRPr="00115627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D61E52" w:rsidRPr="00403A5B" w:rsidRDefault="00D61E52" w:rsidP="0011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r w:rsidRPr="0040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TempusProject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 543681-TEMPUS-1-2013-1-DE-TEMPUS-JPHES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403A5B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221 </w:t>
            </w:r>
            <w:r w:rsidRPr="00D70203">
              <w:tab/>
              <w:t>Професіонали в галузі наук про життя та медичних наук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2211 </w:t>
            </w:r>
            <w:r w:rsidRPr="00D70203">
              <w:tab/>
              <w:t>Біологи, ботаніки, зоологи та професіонали споріднених професій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2211.1 </w:t>
            </w:r>
            <w:r w:rsidRPr="00D70203">
              <w:tab/>
              <w:t>Наукові співробітники (біологія, ботаніка, зоологія та ін.)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2211.2 </w:t>
            </w:r>
            <w:r w:rsidRPr="00D70203">
              <w:tab/>
              <w:t>Біологи, ботаніки, зоологи та професіонали споріднених професій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2212 </w:t>
            </w:r>
            <w:r w:rsidRPr="00D70203">
              <w:tab/>
              <w:t>Професіонали в галузі патології, токсикології, фармакології, фізіології та епідеміології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2212.1 </w:t>
            </w:r>
            <w:r w:rsidRPr="00D70203">
              <w:tab/>
              <w:t>Наукові співробітники (патологія, токсикологія, фармакологія, фізіологія, епідеміологія)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2212.2 </w:t>
            </w:r>
            <w:r w:rsidRPr="00D70203">
              <w:tab/>
              <w:t>Патологи, токсикологи, фармакологи, фізіологи та епідеміологи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2213 </w:t>
            </w:r>
            <w:r w:rsidRPr="00D70203">
              <w:tab/>
              <w:t>Професіонали в агрономії, водному господарстві, зооінженерії, лісівництві, меліорації та природно-заповідній справі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2213.1 </w:t>
            </w:r>
            <w:r w:rsidRPr="00D70203">
              <w:tab/>
              <w:t>Наукові співробітники (агрономія, водне господарство, зооінженерія, лісівництво, меліорація та природно-заповідна справа) </w:t>
            </w:r>
          </w:p>
          <w:p w:rsidR="00D61E52" w:rsidRPr="00D70203" w:rsidRDefault="00D61E52" w:rsidP="007C3BF6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ind w:firstLine="0"/>
            </w:pPr>
            <w:r w:rsidRPr="00D70203">
              <w:t>2213.2 </w:t>
            </w:r>
            <w:r w:rsidRPr="00D70203">
              <w:tab/>
              <w:t>Агрономи, гідротехніки, зооінженери, лісоводи та професіонали споріднених професій </w:t>
            </w:r>
          </w:p>
          <w:p w:rsidR="00D61E52" w:rsidRPr="00D70203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D61E52" w:rsidRPr="00D70203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D61E52" w:rsidRPr="00D70203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2310.2</w:t>
            </w: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ab/>
              <w:t>Інші викладачі університетів та вищих навчальних закладів</w:t>
            </w:r>
          </w:p>
          <w:p w:rsidR="00D61E52" w:rsidRPr="00584D99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Викладачі середніх навчальних закладів</w:t>
            </w:r>
          </w:p>
          <w:p w:rsidR="00D61E52" w:rsidRPr="00584D99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D61E52" w:rsidRPr="00D70203" w:rsidRDefault="00D61E52" w:rsidP="007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584D99">
              <w:rPr>
                <w:rFonts w:ascii="Times New Roman" w:hAnsi="Times New Roman" w:cs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D61E52" w:rsidRPr="00C6769D" w:rsidRDefault="00D61E52" w:rsidP="00584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D61E52" w:rsidRPr="00403A5B" w:rsidRDefault="00D61E52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403A5B">
              <w:rPr>
                <w:color w:val="auto"/>
                <w:lang w:val="uk-UA"/>
              </w:rPr>
              <w:t xml:space="preserve">Можливість навчання за програми: 8 рівня НРК, третього циклу </w:t>
            </w:r>
            <w:r w:rsidRPr="00403A5B">
              <w:rPr>
                <w:color w:val="auto"/>
              </w:rPr>
              <w:t>FQ</w:t>
            </w:r>
            <w:r w:rsidRPr="00403A5B">
              <w:rPr>
                <w:color w:val="auto"/>
                <w:lang w:val="uk-UA"/>
              </w:rPr>
              <w:t>-</w:t>
            </w:r>
            <w:r w:rsidRPr="00403A5B">
              <w:rPr>
                <w:color w:val="auto"/>
              </w:rPr>
              <w:t>EHEA</w:t>
            </w:r>
            <w:r w:rsidRPr="00403A5B">
              <w:rPr>
                <w:color w:val="auto"/>
                <w:lang w:val="uk-UA"/>
              </w:rPr>
              <w:t xml:space="preserve"> та 8 рівня </w:t>
            </w:r>
            <w:r w:rsidRPr="00403A5B">
              <w:rPr>
                <w:color w:val="auto"/>
              </w:rPr>
              <w:t>EQF</w:t>
            </w:r>
            <w:r w:rsidRPr="00403A5B">
              <w:rPr>
                <w:color w:val="auto"/>
                <w:lang w:val="uk-UA"/>
              </w:rPr>
              <w:t>-</w:t>
            </w:r>
            <w:r w:rsidRPr="00403A5B">
              <w:rPr>
                <w:color w:val="auto"/>
              </w:rPr>
              <w:t>LLL</w:t>
            </w:r>
            <w:r w:rsidRPr="00403A5B">
              <w:rPr>
                <w:color w:val="auto"/>
                <w:lang w:val="uk-UA"/>
              </w:rPr>
              <w:t>.</w:t>
            </w:r>
          </w:p>
          <w:p w:rsidR="00D61E52" w:rsidRPr="00C6769D" w:rsidRDefault="00D61E52" w:rsidP="00115627">
            <w:pPr>
              <w:pStyle w:val="Default"/>
              <w:ind w:firstLine="403"/>
              <w:jc w:val="both"/>
              <w:rPr>
                <w:color w:val="auto"/>
                <w:sz w:val="16"/>
                <w:szCs w:val="16"/>
                <w:lang w:val="uk-UA"/>
              </w:rPr>
            </w:pPr>
          </w:p>
          <w:p w:rsidR="00D61E52" w:rsidRPr="00403A5B" w:rsidRDefault="00D61E52" w:rsidP="00115627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403A5B">
              <w:rPr>
                <w:color w:val="auto"/>
                <w:lang w:val="uk-UA"/>
              </w:rPr>
              <w:t xml:space="preserve">Продовження навчання за третім (освітньо-науковим) рівнем; отримання післядипломної освіти на споріднених та інших спеціальностях; підвищення кваліфікації; академічної мобільності 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D61E52" w:rsidRPr="00403A5B">
        <w:tc>
          <w:tcPr>
            <w:tcW w:w="1643" w:type="dxa"/>
          </w:tcPr>
          <w:p w:rsidR="00D61E52" w:rsidRPr="00403A5B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D61E52" w:rsidRPr="00403A5B" w:rsidRDefault="00D61E52" w:rsidP="00584D99">
            <w:pPr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-центроване навчання, самонавчання, проблемно-орієнтоване навчання, практика із використанням загально- та спеціально-наукових методів (методи лабораторних та польових досліджень, методи статистичної обробки експериментальних даних, використання інформаційних та комунікаційних технологій.). Комбінація лекцій,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семінарських, 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лабораторних </w:t>
            </w:r>
            <w:r w:rsidRPr="00403A5B">
              <w:rPr>
                <w:rFonts w:ascii="Times New Roman" w:hAnsi="Times New Roman" w:cs="Times New Roman"/>
                <w:sz w:val="24"/>
                <w:szCs w:val="24"/>
              </w:rPr>
              <w:t>занять, розв’язування ситуаційних завдань, тренінгів, кейсів, виконання проектів, дослідницьких наукових робіт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D61E52" w:rsidRPr="005437E5" w:rsidRDefault="00D61E52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Усне та письмове опитування; тестовий контроль;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проектів, 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презентація наукових робіт; захист дипломної роботи; заліки, екзамени.</w:t>
            </w:r>
          </w:p>
          <w:p w:rsidR="00D61E52" w:rsidRPr="005437E5" w:rsidRDefault="00D61E52" w:rsidP="0023012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D61E52" w:rsidRPr="005437E5" w:rsidRDefault="00D61E52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зараховано, незараховано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100-бальною та шкалою ЕКТС (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 xml:space="preserve"> FX</w:t>
            </w: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D61E52" w:rsidRPr="005437E5" w:rsidRDefault="00D61E52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D61E52" w:rsidRPr="005437E5" w:rsidRDefault="00D61E52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D61E52" w:rsidRPr="005437E5" w:rsidRDefault="00D61E52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D61E52" w:rsidRPr="00E63FDA" w:rsidRDefault="00D61E52" w:rsidP="009342FC">
            <w:pPr>
              <w:pStyle w:val="Default"/>
              <w:ind w:firstLine="403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розв’язувати складні задачі і проблеми в галузі біологічних наук і на межі предметних галузей, що передбачає проведення досліджень та/або здійснення інновацій та характеризується невизначеністю умов і вимог</w:t>
            </w:r>
            <w:r>
              <w:rPr>
                <w:rStyle w:val="rvts0"/>
                <w:lang w:val="uk-UA"/>
              </w:rPr>
              <w:t>.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D61E52" w:rsidRPr="00E9730B" w:rsidRDefault="00D61E52" w:rsidP="00C14C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1. Здатність до пошуку та аналізу інформації з використанням різних джерел, у т.ч. результатів власних досліджень.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2.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Здатність генерувати нові ідеї (креативність).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3.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Здатність до комунікації у професійній діяльності, у т.ч. на міжнародному рівні.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ЗК 4.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професійні функції і проводити дослідження на відповідному рівні у галузі біологічних наук і на межі предметних галузей.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5. Здатність діяти із дотриманням морально-етичних норм професійної діяльності і необхідності інтелектуальної чесності..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6. Здатність до прийняття рішень у складних і непередбачуваних умовах, що потребує застосування нових підходів та прогнозування. 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7. Здатність до абстрактного мислення, аналізу і синтезу інформації в галузі біології і на межі предметних галузей.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8. Здатність розробляти проекти і керувати ними, проводити патентний пошук та оформляти патентну документацію. 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ЗК 9. Здатність користуватися сучасними інформаційними технологіями та аналізувати інформацію в галузі біології і на межі предметних галузей..</w:t>
            </w:r>
          </w:p>
          <w:p w:rsidR="00D61E52" w:rsidRDefault="00D61E52" w:rsidP="00C14C5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ЗК 10.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 діяти соціально відповідально та свідомо.</w:t>
            </w:r>
          </w:p>
          <w:p w:rsidR="00D61E52" w:rsidRPr="00E9730B" w:rsidRDefault="00D61E52" w:rsidP="00C14C5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D61E52" w:rsidRPr="00E9730B" w:rsidRDefault="00D61E52" w:rsidP="00E63FDA">
            <w:pPr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1. Здатність до поглиблення теоретичних та методологічних знань у галузі біологічних наук і на межі предметних галузей..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2. Здатність застосовувати знання у професійній діяльності з урахуванням новітніх досягнень, у т.ч. для дослідницької роботи..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3. Здатність використовувати знання й практичні навички в галузі біологічних наук та на межі предметних галузей для виконання професійних завдань, у т.ч. для дослідження різних рівнів організації живих організмів, біологічних явищ і процесів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4. Навички аргументованого ведення дискусії та спілкування в галузі біологічних наук і на межі предметних галузей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5.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 аналізувати шляхи розвитку сучасної біології.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6. Розуміння необхідності збереження біорізноманіття, охорони навколишнього середовища та раціонального природокористування..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7.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Здатність на основі розуміння сучасних наукових фактів, концепцій, теорій, принципів і методів приймати рішення з важливих проблем біології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 на межі предметних галузей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ФК 8. Здатність виконувати роботу з дотриманням правил біологічної етики, біобезпеки, біозахисту..</w:t>
            </w:r>
          </w:p>
          <w:p w:rsidR="00D61E52" w:rsidRPr="00E9730B" w:rsidRDefault="00D61E52" w:rsidP="00E63FDA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 xml:space="preserve">ФК 9.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Здатність планувати і проводити наукові дослідження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галузі біології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і на межі предметних галузей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здійснювати їх інформаційне, методичне, матеріальне забезпечення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інтерпретувати дані і робити висновки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, готувати результати наукових робіт до оприлюднення..</w:t>
            </w:r>
          </w:p>
          <w:p w:rsidR="00D61E52" w:rsidRPr="00D70203" w:rsidRDefault="00D61E52" w:rsidP="00C72822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10. </w:t>
            </w:r>
            <w:r w:rsidRPr="00D70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Знання основних сучасних положень фундаментальних наук стосовно походження, розвитку, будови і процесів життєдіяльності живих організмів, здатність їх застосовувати для формування світоглядної позиції.</w:t>
            </w:r>
          </w:p>
          <w:p w:rsidR="00D61E52" w:rsidRDefault="00D61E52" w:rsidP="00C72822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11. Вміння застосовувати основи педагогіки і психології у освітньому процесі у закладах вищої освіти.</w:t>
            </w:r>
          </w:p>
          <w:p w:rsidR="00D61E52" w:rsidRPr="00E9730B" w:rsidRDefault="00D61E52" w:rsidP="00C72822">
            <w:pPr>
              <w:tabs>
                <w:tab w:val="left" w:pos="0"/>
              </w:tabs>
              <w:suppressAutoHyphens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12. Вміння формулювати задачі моделювання, створювати моделі об’єктів і процесів у живих організмах та їхніх компонентах із використанням математичних методів й інформаційних технологій.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E9730B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– Програмні результати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Вміти спілкуватись в діалоговому режимі українською та іноземною мовами з колегами та цільовою аудиторією.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2.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Використовувати бібліотеки, інформаційні бази даних, інтернет ресурси для пошуку необхідної інформації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3. </w:t>
            </w:r>
            <w:r w:rsidRPr="00E973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Знаходити шляхи швидкого і ефективного розв’язку поставленого завдання, генерування ідей, використовуючи отримані знання та навички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4.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Представляти результати наукової роботи письмово (у вигляді звіту, наукових публікацій тощо) та усно (у формі доповідей та захисту звіту) з використанням сучасних технологій, коректно вести дискусію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5.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Визначати свій внесок у справу, здійснювати злагоджену роботу на результат з урахуванням суспільних, державних і виробничих інтересів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6.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основні правила біологічної етики, біобезпеки, біозахисту, основні підходи до оцінки ризиків за умов застосування новітніх біологічних, біотехнологічних і медико-біологічних методів та технологій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7.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8.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визначати потенційно небезпечні виробничі процеси що можуть створювати загрозу виникнення надзвичайних ситуацій та дотримання правил безпеки життєдіяльності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9.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особливості розвитку сучасної біологічної науки, основні методологічні принципи наукового дослідження, методологічний і методичний інструментарій проведення наукових досліджень за спеціалізацією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10.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Вміти моделювати основні процеси дослідження з метою вибору методів дослідження, апаратурного забезпечення або створення нових методик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 11.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12.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аналізувати принципи структурно-функціональної організації, механізмів регуляції та адаптації організмів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13. </w:t>
            </w:r>
            <w:r w:rsidRPr="00E97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Демонструвати знання про основні закономірності формування,  кількісної оцінки та стратегії збереження біологічного різноманіття, збільшення продуктивності й стійкості агроценозів та природних екосистем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14.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Використовувати інноваційні підходи для розв’язання конкретних біологічних завдань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15.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Знати основні вимоги чинного законодавства України щодо використання біологічних ресурсів. Користуватися нормативно-правовими актами та нормативно-технічною документацією у сфері наукової діяльності</w:t>
            </w: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61E52" w:rsidRPr="00E9730B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16.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Знати принципи розробки алгоритму та проведення дослідно-пошукової діяльності за спеціалізацією.</w:t>
            </w:r>
          </w:p>
          <w:p w:rsidR="00D61E52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ПРН 17. </w:t>
            </w:r>
            <w:r w:rsidRPr="00E9730B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за спеціалізацією для вирішення конкретних практичних завдань.</w:t>
            </w:r>
          </w:p>
          <w:p w:rsidR="00D61E52" w:rsidRDefault="00D61E52" w:rsidP="00E63FDA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18. Застосовувати педагогічні технології на рівні достатньому для реалізації розроблених програм навчальних дисциплін за спеціаліазацією у закладах вищої освіти</w:t>
            </w:r>
          </w:p>
          <w:p w:rsidR="00D61E52" w:rsidRPr="00E9730B" w:rsidRDefault="00D61E52" w:rsidP="001B735F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19. Моделювати об’єкти і процеси у живих організмах та їхніх компонентах із використанням математичних методів й інформаційних технологій.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D61E52" w:rsidRPr="00436D0E" w:rsidRDefault="00D61E52" w:rsidP="00BE5EA4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436D0E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</w:t>
            </w:r>
            <w:r>
              <w:rPr>
                <w:color w:val="auto"/>
                <w:lang w:val="uk-UA"/>
              </w:rPr>
              <w:t>исококваліфіковані спеціалісти: 6 докторів</w:t>
            </w:r>
            <w:r w:rsidRPr="00436D0E">
              <w:rPr>
                <w:color w:val="auto"/>
                <w:lang w:val="uk-UA"/>
              </w:rPr>
              <w:t xml:space="preserve"> наук,</w:t>
            </w:r>
            <w:r>
              <w:rPr>
                <w:color w:val="auto"/>
                <w:lang w:val="uk-UA"/>
              </w:rPr>
              <w:t xml:space="preserve"> професори</w:t>
            </w:r>
            <w:r w:rsidRPr="00436D0E">
              <w:rPr>
                <w:color w:val="auto"/>
                <w:lang w:val="uk-UA"/>
              </w:rPr>
              <w:t xml:space="preserve">, </w:t>
            </w:r>
            <w:r>
              <w:rPr>
                <w:color w:val="auto"/>
                <w:lang w:val="uk-UA"/>
              </w:rPr>
              <w:t>8</w:t>
            </w:r>
            <w:r w:rsidRPr="00436D0E">
              <w:rPr>
                <w:color w:val="auto"/>
                <w:lang w:val="uk-UA"/>
              </w:rPr>
              <w:t xml:space="preserve"> кандидати наук, доценти, 2 кандидати наук</w:t>
            </w:r>
            <w:r>
              <w:rPr>
                <w:color w:val="auto"/>
                <w:lang w:val="uk-UA"/>
              </w:rPr>
              <w:t xml:space="preserve">.  </w:t>
            </w:r>
          </w:p>
          <w:p w:rsidR="00D61E52" w:rsidRPr="005437E5" w:rsidRDefault="00D61E52" w:rsidP="00BE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0E">
              <w:rPr>
                <w:rFonts w:ascii="Times New Roman" w:hAnsi="Times New Roman" w:cs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D61E52" w:rsidRPr="00124362" w:rsidRDefault="00D61E52" w:rsidP="00023FF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навчально-наукові лабораторії молекулярної біології, імунології та біохімії, науково-дослідні лабораторії біорізноманіття і екомоніторингу, екології рослин та охорони довкілля, навчальні лабораторії анатомії людини, гістології та цитології, фізіології людини і тварин, анатомії і морфології рослин, систематики рослин, фізіології рослин, мікробіології, зоології хребетних, зоології безхребетних, кабінети комп'ютерної техніки, навчально-методичний кабінет ботаніки, зоологічний музей, віварій, що створюють умови для набуття студентами спеціальних компетентностей зі спеціальності </w:t>
            </w:r>
          </w:p>
          <w:p w:rsidR="00D61E52" w:rsidRPr="00124362" w:rsidRDefault="00D61E52" w:rsidP="00023FF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 Біологія освітньо-наукової програми «Ботаніка»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офіційний сайт ХДУ:</w:t>
            </w:r>
            <w:hyperlink r:id="rId6" w:history="1">
              <w:r w:rsidRPr="005437E5">
                <w:rPr>
                  <w:rStyle w:val="Hyperlink"/>
                  <w:color w:val="auto"/>
                  <w:lang w:val="uk-UA"/>
                </w:rPr>
                <w:t>http://www.kspu.edu/About.aspx?lang=uk</w:t>
              </w:r>
            </w:hyperlink>
            <w:r w:rsidRPr="005437E5">
              <w:rPr>
                <w:color w:val="auto"/>
                <w:lang w:val="uk-UA"/>
              </w:rPr>
              <w:t>;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наукова бібліотека, читальні зали;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</w:rPr>
              <w:t> система дистанційного</w:t>
            </w:r>
            <w:r>
              <w:rPr>
                <w:color w:val="auto"/>
                <w:lang w:val="uk-UA"/>
              </w:rPr>
              <w:t xml:space="preserve"> </w:t>
            </w:r>
            <w:r w:rsidRPr="005437E5">
              <w:rPr>
                <w:color w:val="auto"/>
              </w:rPr>
              <w:t>навчання «KSU Online»</w:t>
            </w:r>
            <w:r w:rsidRPr="005437E5">
              <w:rPr>
                <w:color w:val="auto"/>
                <w:lang w:val="uk-UA"/>
              </w:rPr>
              <w:t>;</w:t>
            </w:r>
          </w:p>
          <w:p w:rsidR="00D61E52" w:rsidRPr="00D70203" w:rsidRDefault="00D61E52" w:rsidP="00BB56E4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124362">
              <w:rPr>
                <w:color w:val="auto"/>
                <w:lang w:val="uk-UA"/>
              </w:rPr>
              <w:t xml:space="preserve">електронна </w:t>
            </w:r>
            <w:r w:rsidRPr="00D70203">
              <w:rPr>
                <w:color w:val="auto"/>
                <w:lang w:val="uk-UA"/>
              </w:rPr>
              <w:t xml:space="preserve">бібліотека </w:t>
            </w:r>
            <w:hyperlink r:id="rId7" w:history="1">
              <w:r w:rsidRPr="00D70203">
                <w:rPr>
                  <w:rStyle w:val="Hyperlink"/>
                  <w:lang w:val="uk-UA"/>
                </w:rPr>
                <w:t>http://elibrary.kspu.edu/</w:t>
              </w:r>
            </w:hyperlink>
            <w:r w:rsidRPr="00D70203">
              <w:rPr>
                <w:color w:val="auto"/>
                <w:lang w:val="uk-UA"/>
              </w:rPr>
              <w:t>;</w:t>
            </w:r>
          </w:p>
          <w:p w:rsidR="00D61E52" w:rsidRPr="00E36BA9" w:rsidRDefault="00D61E52" w:rsidP="00584D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 xml:space="preserve">Інституційний репозитарій Херсонського державного університету </w:t>
            </w:r>
          </w:p>
          <w:p w:rsidR="00D61E52" w:rsidRPr="00E36BA9" w:rsidRDefault="00D61E52" w:rsidP="0058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eKhSUIR (</w:t>
            </w:r>
            <w:hyperlink r:id="rId8" w:tooltip="eKhSUIR" w:history="1">
              <w:r w:rsidRPr="00E36B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 r:id="rId9" w:tooltip="eKhSUIR" w:history="1">
              <w:r w:rsidRPr="00E36B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KhSUIR.kspu.edu</w:t>
              </w:r>
            </w:hyperlink>
            <w:r w:rsidRPr="00E36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E52" w:rsidRDefault="00D61E52" w:rsidP="00584D99">
            <w:pPr>
              <w:pStyle w:val="Default"/>
              <w:ind w:left="-108"/>
              <w:rPr>
                <w:color w:val="auto"/>
                <w:lang w:val="uk-UA"/>
              </w:rPr>
            </w:pPr>
            <w:r w:rsidRPr="00E36BA9">
              <w:rPr>
                <w:color w:val="auto"/>
                <w:lang w:val="uk-UA"/>
              </w:rPr>
              <w:t xml:space="preserve">- </w:t>
            </w:r>
            <w:r w:rsidRPr="00E36BA9">
              <w:rPr>
                <w:color w:val="auto"/>
                <w:lang w:val="en-US"/>
              </w:rPr>
              <w:t>Webb</w:t>
            </w:r>
            <w:r w:rsidRPr="00A7686C">
              <w:rPr>
                <w:color w:val="auto"/>
              </w:rPr>
              <w:t xml:space="preserve"> </w:t>
            </w:r>
            <w:r w:rsidRPr="00E36BA9">
              <w:rPr>
                <w:color w:val="auto"/>
                <w:lang w:val="en-US"/>
              </w:rPr>
              <w:t>of</w:t>
            </w:r>
            <w:r w:rsidRPr="00A7686C">
              <w:rPr>
                <w:color w:val="auto"/>
              </w:rPr>
              <w:t xml:space="preserve"> </w:t>
            </w:r>
            <w:r w:rsidRPr="00E36BA9">
              <w:rPr>
                <w:color w:val="auto"/>
                <w:lang w:val="en-US"/>
              </w:rPr>
              <w:t>Science</w:t>
            </w:r>
            <w:r w:rsidRPr="00E36BA9">
              <w:rPr>
                <w:color w:val="auto"/>
                <w:lang w:val="uk-UA"/>
              </w:rPr>
              <w:t xml:space="preserve"> (наказ МОН «Про надання доступу ВНЗ і науковим установам до електронних наукових баз даних» № 1286 від 19.09.17 р.)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D61E52" w:rsidRPr="005437E5" w:rsidRDefault="00D61E52" w:rsidP="00BB56E4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програми практик</w:t>
            </w:r>
          </w:p>
        </w:tc>
      </w:tr>
      <w:tr w:rsidR="00D61E52" w:rsidRPr="005437E5">
        <w:tc>
          <w:tcPr>
            <w:tcW w:w="9571" w:type="dxa"/>
            <w:gridSpan w:val="3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D61E52" w:rsidRDefault="00D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D61E52" w:rsidRDefault="00D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Взаємозамінність залікових кредитів, участь у програмі подвійного дипломування та закордонного стажування</w:t>
            </w:r>
          </w:p>
        </w:tc>
      </w:tr>
      <w:tr w:rsidR="00D61E52" w:rsidRPr="005437E5">
        <w:tc>
          <w:tcPr>
            <w:tcW w:w="1643" w:type="dxa"/>
          </w:tcPr>
          <w:p w:rsidR="00D61E52" w:rsidRPr="005437E5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5">
              <w:rPr>
                <w:rFonts w:ascii="Times New Roman" w:hAnsi="Times New Roman" w:cs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D61E52" w:rsidRDefault="00D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межах ліцензованого обсягу спеціальності та за умови попередньої мовленнєвої  підготовки</w:t>
            </w:r>
          </w:p>
        </w:tc>
      </w:tr>
    </w:tbl>
    <w:p w:rsidR="00D61E52" w:rsidRPr="00310247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E52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2. Перелік компонент освітньо-наукової програми та їх логічна послідовність</w:t>
      </w:r>
    </w:p>
    <w:p w:rsidR="00D61E52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E52" w:rsidRPr="005031BF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1BF">
        <w:rPr>
          <w:rFonts w:ascii="Times New Roman" w:hAnsi="Times New Roman" w:cs="Times New Roman"/>
          <w:b/>
          <w:bCs/>
          <w:sz w:val="28"/>
          <w:szCs w:val="28"/>
        </w:rPr>
        <w:t>2.1. Перелік 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</w:t>
      </w:r>
    </w:p>
    <w:p w:rsidR="00D61E52" w:rsidRDefault="00D61E52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6436"/>
        <w:gridCol w:w="1176"/>
        <w:gridCol w:w="1388"/>
      </w:tblGrid>
      <w:tr w:rsidR="00D61E52" w:rsidRPr="005437E5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Код н/д</w:t>
            </w:r>
          </w:p>
        </w:tc>
        <w:tc>
          <w:tcPr>
            <w:tcW w:w="6436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D61E52" w:rsidRPr="00D70203" w:rsidRDefault="00D61E52" w:rsidP="00D70203">
            <w:pPr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03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D61E52" w:rsidRPr="005437E5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6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4</w:t>
            </w:r>
          </w:p>
        </w:tc>
      </w:tr>
      <w:tr w:rsidR="00D61E52" w:rsidRPr="005437E5">
        <w:tc>
          <w:tcPr>
            <w:tcW w:w="10008" w:type="dxa"/>
            <w:gridSpan w:val="4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Обов’язкові компоненти ОК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6436" w:type="dxa"/>
          </w:tcPr>
          <w:p w:rsidR="00D61E52" w:rsidRPr="00D70203" w:rsidRDefault="00D61E52" w:rsidP="00AE13A3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Філософія та методологія науки</w:t>
            </w:r>
          </w:p>
        </w:tc>
        <w:tc>
          <w:tcPr>
            <w:tcW w:w="1176" w:type="dxa"/>
            <w:vAlign w:val="center"/>
          </w:tcPr>
          <w:p w:rsidR="00D61E52" w:rsidRPr="00D70203" w:rsidRDefault="00D61E52" w:rsidP="00DE0424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DE0424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диф. залік</w:t>
            </w:r>
          </w:p>
        </w:tc>
      </w:tr>
      <w:tr w:rsidR="00D61E52" w:rsidRPr="004A6CA3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Основи наукової комунікації іноземними мовами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диф. 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6436" w:type="dxa"/>
            <w:vAlign w:val="center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Геоботаніка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6436" w:type="dxa"/>
            <w:vAlign w:val="center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Фіторізноманіття України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D61E52" w:rsidRPr="00D70203" w:rsidRDefault="00D61E52" w:rsidP="004D359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6436" w:type="dxa"/>
            <w:vAlign w:val="center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Філогенетичні системи та методи систематики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6436" w:type="dxa"/>
            <w:vAlign w:val="center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Науково-дослідницький практикум з біотестування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4D359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ОК 7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Фітопатологія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4D359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4D359D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ОК 8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Біобезпека, біозахист та біоетика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4D359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6436" w:type="dxa"/>
            <w:vAlign w:val="center"/>
          </w:tcPr>
          <w:p w:rsidR="00D61E52" w:rsidRPr="00D70203" w:rsidRDefault="00D61E52" w:rsidP="00F55796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Педагогіка і психологія вищої школи</w:t>
            </w:r>
          </w:p>
        </w:tc>
        <w:tc>
          <w:tcPr>
            <w:tcW w:w="1176" w:type="dxa"/>
            <w:vAlign w:val="center"/>
          </w:tcPr>
          <w:p w:rsidR="00D61E52" w:rsidRPr="00D70203" w:rsidRDefault="00D61E52" w:rsidP="00F55796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F55796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 xml:space="preserve">екзамен 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6436" w:type="dxa"/>
            <w:vAlign w:val="bottom"/>
          </w:tcPr>
          <w:p w:rsidR="00D61E52" w:rsidRPr="00D70203" w:rsidRDefault="00D61E52" w:rsidP="00584D99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Методика викладання фахових біологічних дисциплін у закладі</w:t>
            </w:r>
            <w:r>
              <w:rPr>
                <w:rFonts w:ascii="Times New Roman" w:hAnsi="Times New Roman" w:cs="Times New Roman"/>
              </w:rPr>
              <w:t xml:space="preserve"> вищої освіти</w:t>
            </w:r>
          </w:p>
        </w:tc>
        <w:tc>
          <w:tcPr>
            <w:tcW w:w="1176" w:type="dxa"/>
            <w:vAlign w:val="center"/>
          </w:tcPr>
          <w:p w:rsidR="00D61E52" w:rsidRPr="00D70203" w:rsidRDefault="00D61E52" w:rsidP="00F55796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F55796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11</w:t>
            </w:r>
          </w:p>
        </w:tc>
        <w:tc>
          <w:tcPr>
            <w:tcW w:w="6436" w:type="dxa"/>
          </w:tcPr>
          <w:p w:rsidR="00D61E52" w:rsidRPr="00D70203" w:rsidRDefault="00D61E52" w:rsidP="00CE33D1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Виробнича практика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88" w:type="dxa"/>
          </w:tcPr>
          <w:p w:rsidR="00D61E52" w:rsidRPr="00D70203" w:rsidRDefault="00D61E52" w:rsidP="00B26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</w:rPr>
              <w:t>диф. залік</w:t>
            </w:r>
          </w:p>
        </w:tc>
      </w:tr>
      <w:tr w:rsidR="00D61E52" w:rsidRPr="001E7AA6">
        <w:tc>
          <w:tcPr>
            <w:tcW w:w="1008" w:type="dxa"/>
          </w:tcPr>
          <w:p w:rsidR="00D61E52" w:rsidRPr="00D70203" w:rsidRDefault="00D61E52" w:rsidP="009617FC">
            <w:pPr>
              <w:ind w:right="-102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ОК 12</w:t>
            </w:r>
          </w:p>
        </w:tc>
        <w:tc>
          <w:tcPr>
            <w:tcW w:w="6436" w:type="dxa"/>
          </w:tcPr>
          <w:p w:rsidR="00D61E52" w:rsidRPr="00D70203" w:rsidRDefault="00D61E52" w:rsidP="00CE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до атестації</w:t>
            </w:r>
            <w:r w:rsidRPr="00D70203">
              <w:rPr>
                <w:rFonts w:ascii="Times New Roman" w:hAnsi="Times New Roman" w:cs="Times New Roman"/>
              </w:rPr>
              <w:t xml:space="preserve"> та атестація здобувачів вищої освіти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34,5</w:t>
            </w:r>
          </w:p>
        </w:tc>
        <w:tc>
          <w:tcPr>
            <w:tcW w:w="1388" w:type="dxa"/>
          </w:tcPr>
          <w:p w:rsidR="00D61E52" w:rsidRPr="00D70203" w:rsidRDefault="00D61E52" w:rsidP="00AC72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E52" w:rsidRPr="001E7AA6">
        <w:tc>
          <w:tcPr>
            <w:tcW w:w="7444" w:type="dxa"/>
            <w:gridSpan w:val="2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Загальний обсяг обов’язкових компонент:</w:t>
            </w:r>
          </w:p>
        </w:tc>
        <w:tc>
          <w:tcPr>
            <w:tcW w:w="2564" w:type="dxa"/>
            <w:gridSpan w:val="2"/>
            <w:vAlign w:val="center"/>
          </w:tcPr>
          <w:p w:rsidR="00D61E52" w:rsidRPr="00D70203" w:rsidRDefault="00D61E52" w:rsidP="00C75E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70203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</w:p>
        </w:tc>
      </w:tr>
      <w:tr w:rsidR="00D61E52" w:rsidRPr="001E7AA6">
        <w:tc>
          <w:tcPr>
            <w:tcW w:w="10008" w:type="dxa"/>
            <w:gridSpan w:val="4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Вибіркові компоненти ВК</w:t>
            </w:r>
          </w:p>
        </w:tc>
      </w:tr>
      <w:tr w:rsidR="00D61E52" w:rsidRPr="00826582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1.</w:t>
            </w:r>
          </w:p>
        </w:tc>
        <w:tc>
          <w:tcPr>
            <w:tcW w:w="6436" w:type="dxa"/>
          </w:tcPr>
          <w:p w:rsidR="00D61E52" w:rsidRPr="00D70203" w:rsidRDefault="00D61E52" w:rsidP="00C75EAC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Дисципліна вільного вибору</w:t>
            </w:r>
          </w:p>
        </w:tc>
        <w:tc>
          <w:tcPr>
            <w:tcW w:w="1176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2.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Методологія та організація наукових досліджень в біології / Лабораторний практикум з біології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9617FC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3.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Охорона рослинного світу / Заповідна фітосозологія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екзамен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4.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 xml:space="preserve">Науково-дослідницький практикум з ботаніки / Прикладна ботаніка 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88" w:type="dxa"/>
          </w:tcPr>
          <w:p w:rsidR="00D61E52" w:rsidRPr="00D70203" w:rsidRDefault="00D61E52" w:rsidP="001837BE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5.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Основи степознавства / Біологія степових екосистем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8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6.</w:t>
            </w:r>
          </w:p>
        </w:tc>
        <w:tc>
          <w:tcPr>
            <w:tcW w:w="6436" w:type="dxa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Морфобіологічні особливості лікарських рослин / Основи фармакогнозії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</w:tcPr>
          <w:p w:rsidR="00D61E52" w:rsidRPr="00D70203" w:rsidRDefault="00D61E52" w:rsidP="00A74E67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залік</w:t>
            </w:r>
          </w:p>
        </w:tc>
      </w:tr>
      <w:tr w:rsidR="00D61E52" w:rsidRPr="003412AE">
        <w:tc>
          <w:tcPr>
            <w:tcW w:w="1008" w:type="dxa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ВК 7.</w:t>
            </w:r>
          </w:p>
        </w:tc>
        <w:tc>
          <w:tcPr>
            <w:tcW w:w="6436" w:type="dxa"/>
            <w:vAlign w:val="bottom"/>
          </w:tcPr>
          <w:p w:rsidR="00D61E52" w:rsidRPr="00D70203" w:rsidRDefault="00D61E52">
            <w:pPr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</w:rPr>
              <w:t>Методи культивування грибів / Технологія вирощування біологічних об'єктів in vitro</w:t>
            </w:r>
          </w:p>
        </w:tc>
        <w:tc>
          <w:tcPr>
            <w:tcW w:w="1176" w:type="dxa"/>
            <w:vAlign w:val="center"/>
          </w:tcPr>
          <w:p w:rsidR="00D61E52" w:rsidRPr="00D70203" w:rsidRDefault="00D61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88" w:type="dxa"/>
          </w:tcPr>
          <w:p w:rsidR="00D61E52" w:rsidRPr="00D70203" w:rsidRDefault="00D61E52" w:rsidP="00717621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  <w:lang w:val="ru-RU"/>
              </w:rPr>
              <w:t>диф.залік</w:t>
            </w:r>
          </w:p>
        </w:tc>
      </w:tr>
      <w:tr w:rsidR="00D61E52" w:rsidRPr="009617FC">
        <w:tc>
          <w:tcPr>
            <w:tcW w:w="7444" w:type="dxa"/>
            <w:gridSpan w:val="2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Загальний обсяг вибіркових компонент:</w:t>
            </w:r>
          </w:p>
        </w:tc>
        <w:tc>
          <w:tcPr>
            <w:tcW w:w="2564" w:type="dxa"/>
            <w:gridSpan w:val="2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61E52" w:rsidRPr="005437E5">
        <w:tc>
          <w:tcPr>
            <w:tcW w:w="7444" w:type="dxa"/>
            <w:gridSpan w:val="2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ЗАГАЛЬНИЙ ОБСЯГ ОСВІТНЬОЇ ПРОГРАМИ</w:t>
            </w:r>
          </w:p>
        </w:tc>
        <w:tc>
          <w:tcPr>
            <w:tcW w:w="2564" w:type="dxa"/>
            <w:gridSpan w:val="2"/>
          </w:tcPr>
          <w:p w:rsidR="00D61E52" w:rsidRPr="00D70203" w:rsidRDefault="00D61E52" w:rsidP="00230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03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</w:tbl>
    <w:p w:rsidR="00D61E52" w:rsidRDefault="00D61E52" w:rsidP="00BB56E4">
      <w:pPr>
        <w:jc w:val="center"/>
        <w:rPr>
          <w:rFonts w:ascii="Times New Roman" w:hAnsi="Times New Roman" w:cs="Times New Roman"/>
          <w:sz w:val="28"/>
          <w:szCs w:val="28"/>
        </w:rPr>
        <w:sectPr w:rsidR="00D61E52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E52" w:rsidRPr="005C395E" w:rsidRDefault="00D61E52" w:rsidP="00BB56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3DD9">
        <w:rPr>
          <w:rFonts w:ascii="Times New Roman" w:hAnsi="Times New Roman" w:cs="Times New Roman"/>
          <w:sz w:val="28"/>
          <w:szCs w:val="28"/>
        </w:rPr>
        <w:pict>
          <v:shape id="_x0000_i1026" type="#_x0000_t75" style="width:725.25pt;height:464.25pt">
            <v:imagedata r:id="rId10" o:title=""/>
          </v:shape>
        </w:pict>
      </w:r>
    </w:p>
    <w:bookmarkEnd w:id="0"/>
    <w:p w:rsidR="00D61E52" w:rsidRDefault="00D61E52" w:rsidP="00BB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E52" w:rsidRDefault="00D61E52" w:rsidP="00BB56E4">
      <w:pPr>
        <w:jc w:val="center"/>
        <w:rPr>
          <w:rFonts w:ascii="Times New Roman" w:hAnsi="Times New Roman" w:cs="Times New Roman"/>
          <w:sz w:val="28"/>
          <w:szCs w:val="28"/>
        </w:rPr>
        <w:sectPr w:rsidR="00D61E52" w:rsidSect="00E507F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61E52" w:rsidRPr="00837FC0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FC0">
        <w:rPr>
          <w:rFonts w:ascii="Times New Roman" w:hAnsi="Times New Roman" w:cs="Times New Roman"/>
          <w:b/>
          <w:bCs/>
          <w:sz w:val="28"/>
          <w:szCs w:val="28"/>
        </w:rPr>
        <w:t>3. Форма атестації здобувачів вищої освіти</w:t>
      </w:r>
    </w:p>
    <w:p w:rsidR="00D61E52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E52" w:rsidRPr="00D70203" w:rsidRDefault="00D61E52" w:rsidP="00D86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03">
        <w:rPr>
          <w:rFonts w:ascii="Times New Roman" w:hAnsi="Times New Roman" w:cs="Times New Roman"/>
          <w:sz w:val="28"/>
          <w:szCs w:val="28"/>
        </w:rPr>
        <w:t>Атестація випускників освітньо-</w:t>
      </w:r>
      <w:r>
        <w:rPr>
          <w:rFonts w:ascii="Times New Roman" w:hAnsi="Times New Roman" w:cs="Times New Roman"/>
          <w:sz w:val="28"/>
          <w:szCs w:val="28"/>
        </w:rPr>
        <w:t>науков</w:t>
      </w:r>
      <w:r w:rsidRPr="00D70203">
        <w:rPr>
          <w:rFonts w:ascii="Times New Roman" w:hAnsi="Times New Roman" w:cs="Times New Roman"/>
          <w:sz w:val="28"/>
          <w:szCs w:val="28"/>
        </w:rPr>
        <w:t>ої програми</w:t>
      </w:r>
      <w:r>
        <w:rPr>
          <w:rFonts w:ascii="Times New Roman" w:hAnsi="Times New Roman" w:cs="Times New Roman"/>
          <w:sz w:val="28"/>
          <w:szCs w:val="28"/>
        </w:rPr>
        <w:t xml:space="preserve"> «Ботаніка» </w:t>
      </w:r>
      <w:r w:rsidRPr="00D70203">
        <w:rPr>
          <w:rFonts w:ascii="Times New Roman" w:hAnsi="Times New Roman" w:cs="Times New Roman"/>
          <w:sz w:val="28"/>
          <w:szCs w:val="28"/>
        </w:rPr>
        <w:t xml:space="preserve"> спеціальності 091 Біологія проводиться у формі захисту </w:t>
      </w:r>
      <w:r>
        <w:rPr>
          <w:rFonts w:ascii="Times New Roman" w:hAnsi="Times New Roman" w:cs="Times New Roman"/>
          <w:sz w:val="28"/>
          <w:szCs w:val="28"/>
        </w:rPr>
        <w:t>дипломної</w:t>
      </w:r>
      <w:r w:rsidRPr="00D70203">
        <w:rPr>
          <w:rFonts w:ascii="Times New Roman" w:hAnsi="Times New Roman" w:cs="Times New Roman"/>
          <w:sz w:val="28"/>
          <w:szCs w:val="28"/>
        </w:rPr>
        <w:t xml:space="preserve"> роботи та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Pr="00D70203">
        <w:rPr>
          <w:rFonts w:ascii="Times New Roman" w:hAnsi="Times New Roman" w:cs="Times New Roman"/>
          <w:sz w:val="28"/>
          <w:szCs w:val="28"/>
        </w:rPr>
        <w:t xml:space="preserve"> іспиту за фахом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0203">
        <w:rPr>
          <w:rFonts w:ascii="Times New Roman" w:hAnsi="Times New Roman" w:cs="Times New Roman"/>
          <w:sz w:val="28"/>
          <w:szCs w:val="28"/>
        </w:rPr>
        <w:t>Філогенетичні системи та методи систематики;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203">
        <w:rPr>
          <w:rFonts w:ascii="Times New Roman" w:hAnsi="Times New Roman" w:cs="Times New Roman"/>
          <w:sz w:val="28"/>
          <w:szCs w:val="28"/>
        </w:rPr>
        <w:t>Геоботаніка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0203">
        <w:rPr>
          <w:rFonts w:ascii="Times New Roman" w:hAnsi="Times New Roman" w:cs="Times New Roman"/>
          <w:sz w:val="28"/>
          <w:szCs w:val="28"/>
        </w:rPr>
        <w:t>Методика викладання фахових біологічних дисциплін у З</w:t>
      </w:r>
      <w:r>
        <w:rPr>
          <w:rFonts w:ascii="Times New Roman" w:hAnsi="Times New Roman" w:cs="Times New Roman"/>
          <w:sz w:val="28"/>
          <w:szCs w:val="28"/>
        </w:rPr>
        <w:t>ВО)</w:t>
      </w:r>
      <w:r w:rsidRPr="00D70203">
        <w:rPr>
          <w:rFonts w:ascii="Times New Roman" w:hAnsi="Times New Roman" w:cs="Times New Roman"/>
          <w:sz w:val="28"/>
          <w:szCs w:val="28"/>
        </w:rPr>
        <w:t>.</w:t>
      </w:r>
    </w:p>
    <w:p w:rsidR="00D61E52" w:rsidRPr="00D70203" w:rsidRDefault="00D61E52" w:rsidP="00D866F9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203">
        <w:rPr>
          <w:rFonts w:ascii="Times New Roman" w:hAnsi="Times New Roman" w:cs="Times New Roman"/>
          <w:sz w:val="28"/>
          <w:szCs w:val="28"/>
        </w:rPr>
        <w:t xml:space="preserve">Завершується атестація врученням документу встановленого зразка про присудження </w:t>
      </w:r>
      <w:r>
        <w:rPr>
          <w:rFonts w:ascii="Times New Roman" w:hAnsi="Times New Roman" w:cs="Times New Roman"/>
          <w:sz w:val="28"/>
          <w:szCs w:val="28"/>
        </w:rPr>
        <w:t>випускнику</w:t>
      </w:r>
      <w:r w:rsidRPr="00D70203">
        <w:rPr>
          <w:rFonts w:ascii="Times New Roman" w:hAnsi="Times New Roman" w:cs="Times New Roman"/>
          <w:sz w:val="28"/>
          <w:szCs w:val="28"/>
        </w:rPr>
        <w:t xml:space="preserve"> ступеня магістра і з присвоєнням кваліфікації: </w:t>
      </w:r>
    </w:p>
    <w:p w:rsidR="00D61E52" w:rsidRPr="00A7686C" w:rsidRDefault="00D61E52" w:rsidP="00D866F9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Біолог. Молодший науковий співробітник (Ботаніка). Викладач закладу вищої освіти.</w:t>
      </w:r>
    </w:p>
    <w:p w:rsidR="00D61E52" w:rsidRPr="00D70203" w:rsidRDefault="00D61E52" w:rsidP="00D866F9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03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</w:p>
    <w:p w:rsidR="00D61E52" w:rsidRDefault="00D61E52" w:rsidP="00BB56E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E52" w:rsidRDefault="00D61E52" w:rsidP="00BB56E4">
      <w:pPr>
        <w:rPr>
          <w:rFonts w:ascii="Times New Roman" w:hAnsi="Times New Roman" w:cs="Times New Roman"/>
          <w:sz w:val="28"/>
          <w:szCs w:val="28"/>
        </w:rPr>
      </w:pPr>
    </w:p>
    <w:p w:rsidR="00D61E52" w:rsidRDefault="00D61E52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D61E52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E52" w:rsidRDefault="00D61E52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Матриця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компетентностей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компонентам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6"/>
        <w:gridCol w:w="1120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18"/>
        <w:gridCol w:w="1118"/>
        <w:gridCol w:w="1106"/>
      </w:tblGrid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ОК1</w:t>
            </w:r>
          </w:p>
        </w:tc>
        <w:tc>
          <w:tcPr>
            <w:tcW w:w="379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379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379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379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379" w:type="pct"/>
          </w:tcPr>
          <w:p w:rsidR="00D61E52" w:rsidRPr="00AC20AA" w:rsidRDefault="00D61E52" w:rsidP="000D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379" w:type="pct"/>
          </w:tcPr>
          <w:p w:rsidR="00D61E52" w:rsidRPr="00AC20AA" w:rsidRDefault="00D61E52" w:rsidP="000D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379" w:type="pct"/>
          </w:tcPr>
          <w:p w:rsidR="00D61E52" w:rsidRPr="00AC20AA" w:rsidRDefault="00D61E52" w:rsidP="000D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379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378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378" w:type="pct"/>
          </w:tcPr>
          <w:p w:rsidR="00D61E52" w:rsidRPr="00AC20AA" w:rsidRDefault="00D61E52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374" w:type="pct"/>
          </w:tcPr>
          <w:p w:rsidR="00D61E52" w:rsidRPr="00AC20AA" w:rsidRDefault="00D61E52" w:rsidP="00C7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ОК 12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2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3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CB4707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4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5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CB4707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6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7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8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 9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A">
              <w:rPr>
                <w:rFonts w:ascii="Times New Roman" w:hAnsi="Times New Roman" w:cs="Times New Roman"/>
                <w:sz w:val="28"/>
                <w:szCs w:val="28"/>
              </w:rPr>
              <w:t>ЗК10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CB4707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C2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AC20A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D61E52" w:rsidRPr="00AC20A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1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2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3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4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5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CB4707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6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ФК7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ФК8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9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16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ФК10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16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11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16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12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CB4707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Default="00D61E52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D61E52" w:rsidRDefault="00D61E52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1E52" w:rsidRDefault="00D61E5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61E52" w:rsidRDefault="00D61E5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9"/>
        <w:gridCol w:w="1849"/>
        <w:gridCol w:w="1848"/>
        <w:gridCol w:w="1848"/>
        <w:gridCol w:w="1848"/>
        <w:gridCol w:w="1848"/>
        <w:gridCol w:w="1848"/>
        <w:gridCol w:w="1848"/>
      </w:tblGrid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ВК1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ВК2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ВК3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ВК4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ВК5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ВК6</w:t>
            </w:r>
          </w:p>
        </w:tc>
        <w:tc>
          <w:tcPr>
            <w:tcW w:w="625" w:type="pct"/>
          </w:tcPr>
          <w:p w:rsidR="00D61E52" w:rsidRPr="0035362A" w:rsidRDefault="00D61E52" w:rsidP="007A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ВК7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2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3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4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5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6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7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8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 9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ЗК10</w:t>
            </w: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</w:tcPr>
          <w:p w:rsidR="00D61E52" w:rsidRPr="0035362A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  <w:shd w:val="clear" w:color="auto" w:fill="FFFFFF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1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2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3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4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5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6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ФК7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ФК8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 9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ФК10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11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625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12</w:t>
            </w:r>
          </w:p>
        </w:tc>
        <w:tc>
          <w:tcPr>
            <w:tcW w:w="625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Pr="00062F88" w:rsidRDefault="00D61E52" w:rsidP="001334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F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25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61E52" w:rsidRDefault="00D61E5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61E52" w:rsidRDefault="00D61E52" w:rsidP="0035362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D61E52" w:rsidRDefault="00D61E52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0F6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освітньої програми</w:t>
      </w:r>
    </w:p>
    <w:p w:rsidR="00D61E52" w:rsidRDefault="00D61E52" w:rsidP="00BB56E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6"/>
        <w:gridCol w:w="1120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18"/>
        <w:gridCol w:w="1118"/>
        <w:gridCol w:w="1106"/>
      </w:tblGrid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ОК1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ПРН2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ПРН3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ПРН4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ПРН5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ПРН6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ПРН7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ПРН8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ПРН9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ПРН10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ПРН11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ПРН12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ПРН13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ПРН14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ПРН15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ПРН16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ПРН17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8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ПРН18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459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ПРН19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Pr="003103E5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8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374" w:type="pct"/>
          </w:tcPr>
          <w:p w:rsidR="00D61E52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</w:tbl>
    <w:p w:rsidR="00D61E52" w:rsidRDefault="00D61E52" w:rsidP="00A659D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1E52" w:rsidRDefault="00D61E52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61E52" w:rsidRDefault="00D61E52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Продовження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5"/>
        <w:gridCol w:w="1812"/>
        <w:gridCol w:w="1813"/>
        <w:gridCol w:w="1813"/>
        <w:gridCol w:w="1813"/>
        <w:gridCol w:w="1813"/>
        <w:gridCol w:w="1813"/>
        <w:gridCol w:w="1804"/>
      </w:tblGrid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ВК1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ВК2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ВК3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ВК4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ВК5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ВК6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ВК7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ПРН2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ПРН3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ПРН4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ПРН5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ПРН6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FE3680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ПРН7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ПРН8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Pr="00FE3680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ПРН9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ПРН10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  <w:shd w:val="clear" w:color="auto" w:fill="FFFFFF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ПРН11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ПРН12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ПРН13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ПРН14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ПРН15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ПРН16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A">
              <w:rPr>
                <w:rFonts w:ascii="Times New Roman" w:hAnsi="Times New Roman" w:cs="Times New Roman"/>
                <w:sz w:val="28"/>
                <w:szCs w:val="28"/>
              </w:rPr>
              <w:t>ПРН17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ПРН18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61E52" w:rsidRPr="005437E5">
        <w:trPr>
          <w:jc w:val="center"/>
        </w:trPr>
        <w:tc>
          <w:tcPr>
            <w:tcW w:w="712" w:type="pct"/>
          </w:tcPr>
          <w:p w:rsidR="00D61E52" w:rsidRPr="0035362A" w:rsidRDefault="00D61E52" w:rsidP="000A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ПРН19</w:t>
            </w:r>
          </w:p>
        </w:tc>
        <w:tc>
          <w:tcPr>
            <w:tcW w:w="613" w:type="pct"/>
          </w:tcPr>
          <w:p w:rsidR="00D61E52" w:rsidRPr="0035362A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Default="00D61E52" w:rsidP="00FD67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3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610" w:type="pct"/>
          </w:tcPr>
          <w:p w:rsidR="00D61E52" w:rsidRDefault="00D61E52" w:rsidP="003536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61E52" w:rsidRDefault="00D61E52" w:rsidP="00A659D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61E52" w:rsidRDefault="00D61E52" w:rsidP="00BB56E4">
      <w:pPr>
        <w:rPr>
          <w:rFonts w:ascii="Times New Roman" w:hAnsi="Times New Roman" w:cs="Times New Roman"/>
          <w:b/>
          <w:bCs/>
          <w:sz w:val="28"/>
          <w:szCs w:val="28"/>
        </w:rPr>
        <w:sectPr w:rsidR="00D61E52" w:rsidSect="002301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1E52" w:rsidRPr="0086070F" w:rsidRDefault="00D61E52" w:rsidP="00BB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70F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ДЖЕРЕЛ: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1. ESG – http://ihed.org.ua/images/pdf/standards - and-guidelines_for_ qa_in_the_ehea_2015.pdf. 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2. ISCED (МСКО) 2011 – http://www.uis.unesco.org/education/documents /isced -2011- en.pdf. 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3. ISCED -F (МСКО-Г) 2013 – http://www.uis.unesco.org/Education /Documents/isced -fields -of-education-training -2013.pdf. 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4. Проект Європейської Комісії «Гармонізація освітніх структур в Європі» (TuningEducationalStructuresinEurope,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10. Національний класифікатор України: «Класифікатор професій» ДК 003:2010 // Видавництво «Соцінформ», – К.: 2010.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11. НРК - http://zakon4.rada.gov.ua/laws/show/1341-2011-п. 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12. Рашкевич Ю.М. Болонський процес та нова парадигма вищої освіти // [Електронний ресурс]. – Режим доступу: </w:t>
      </w:r>
      <w:hyperlink r:id="rId11" w:history="1">
        <w:r w:rsidRPr="00C46E41">
          <w:rPr>
            <w:rStyle w:val="Hyperlink"/>
            <w:rFonts w:ascii="Times New Roman" w:hAnsi="Times New Roman" w:cs="Times New Roman"/>
            <w:sz w:val="28"/>
            <w:szCs w:val="28"/>
          </w:rPr>
          <w:t>file://D:/Users/</w:t>
        </w:r>
      </w:hyperlink>
      <w:r w:rsidRPr="00C46E41">
        <w:rPr>
          <w:rFonts w:ascii="Times New Roman" w:hAnsi="Times New Roman" w:cs="Times New Roman"/>
          <w:sz w:val="28"/>
          <w:szCs w:val="28"/>
        </w:rPr>
        <w:t xml:space="preserve">Dell/Downloads/BolonskyiProcessNewParadigmHE.pdf. </w:t>
      </w:r>
    </w:p>
    <w:p w:rsidR="00D61E52" w:rsidRPr="00C46E41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</w:t>
      </w:r>
    </w:p>
    <w:p w:rsidR="00D61E52" w:rsidRPr="00C46E41" w:rsidRDefault="00D61E52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 xml:space="preserve">2015.pdf. </w:t>
      </w:r>
    </w:p>
    <w:p w:rsidR="00D61E52" w:rsidRDefault="00D61E52" w:rsidP="00BB5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14. Розроблення освітніх програм: методичні рекомендації // [Електронний ресурс]. – Режим доступу:http://ihed.org.ua/images/biblioteka/</w:t>
      </w:r>
    </w:p>
    <w:p w:rsidR="00D61E52" w:rsidRPr="00C46E41" w:rsidRDefault="00D61E52" w:rsidP="00BB56E4">
      <w:pPr>
        <w:jc w:val="both"/>
        <w:rPr>
          <w:rFonts w:ascii="Times New Roman" w:hAnsi="Times New Roman" w:cs="Times New Roman"/>
          <w:sz w:val="28"/>
          <w:szCs w:val="28"/>
        </w:rPr>
      </w:pPr>
      <w:r w:rsidRPr="00C46E41">
        <w:rPr>
          <w:rFonts w:ascii="Times New Roman" w:hAnsi="Times New Roman" w:cs="Times New Roman"/>
          <w:sz w:val="28"/>
          <w:szCs w:val="28"/>
        </w:rPr>
        <w:t>rozroblennya_osv_program_2014_temp us-office.pdf</w:t>
      </w:r>
    </w:p>
    <w:p w:rsidR="00D61E52" w:rsidRDefault="00D61E52">
      <w:pPr>
        <w:rPr>
          <w:rFonts w:cs="Times New Roman"/>
        </w:rPr>
      </w:pPr>
    </w:p>
    <w:sectPr w:rsidR="00D61E52" w:rsidSect="0076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C5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802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E0E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40C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C6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2CE5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91EE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ACE6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B2E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D26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0000000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8"/>
    <w:multiLevelType w:val="singleLevel"/>
    <w:tmpl w:val="0AD018F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907" w:hanging="510"/>
      </w:pPr>
      <w:rPr>
        <w:rFonts w:hint="default"/>
      </w:rPr>
    </w:lvl>
  </w:abstractNum>
  <w:abstractNum w:abstractNumId="1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3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D46F1"/>
    <w:multiLevelType w:val="hybridMultilevel"/>
    <w:tmpl w:val="98A2F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26DA4"/>
    <w:multiLevelType w:val="hybridMultilevel"/>
    <w:tmpl w:val="079EB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4206384"/>
    <w:multiLevelType w:val="hybridMultilevel"/>
    <w:tmpl w:val="1486C174"/>
    <w:name w:val="WW8Num452"/>
    <w:lvl w:ilvl="0" w:tplc="3718E2C8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23407"/>
    <w:multiLevelType w:val="hybridMultilevel"/>
    <w:tmpl w:val="663EEEC2"/>
    <w:lvl w:ilvl="0" w:tplc="12267A6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2"/>
  </w:num>
  <w:num w:numId="5">
    <w:abstractNumId w:val="15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6E4"/>
    <w:rsid w:val="00023FFF"/>
    <w:rsid w:val="00036F3A"/>
    <w:rsid w:val="000474A5"/>
    <w:rsid w:val="000547CB"/>
    <w:rsid w:val="00062F88"/>
    <w:rsid w:val="0007229A"/>
    <w:rsid w:val="00072CAB"/>
    <w:rsid w:val="00083454"/>
    <w:rsid w:val="000A0406"/>
    <w:rsid w:val="000D01BF"/>
    <w:rsid w:val="000D0A5B"/>
    <w:rsid w:val="000D6692"/>
    <w:rsid w:val="000E1C6F"/>
    <w:rsid w:val="000E7B13"/>
    <w:rsid w:val="000F64BC"/>
    <w:rsid w:val="000F6E51"/>
    <w:rsid w:val="00115627"/>
    <w:rsid w:val="00124362"/>
    <w:rsid w:val="0012537D"/>
    <w:rsid w:val="001334E6"/>
    <w:rsid w:val="00166E2E"/>
    <w:rsid w:val="001837BE"/>
    <w:rsid w:val="001A5A40"/>
    <w:rsid w:val="001B4560"/>
    <w:rsid w:val="001B735F"/>
    <w:rsid w:val="001D7B9B"/>
    <w:rsid w:val="001E7AA6"/>
    <w:rsid w:val="0021706E"/>
    <w:rsid w:val="0023012D"/>
    <w:rsid w:val="00251580"/>
    <w:rsid w:val="00272F05"/>
    <w:rsid w:val="002736E9"/>
    <w:rsid w:val="00275995"/>
    <w:rsid w:val="00276EBC"/>
    <w:rsid w:val="00281585"/>
    <w:rsid w:val="002976FE"/>
    <w:rsid w:val="002E22F5"/>
    <w:rsid w:val="002F7435"/>
    <w:rsid w:val="00310247"/>
    <w:rsid w:val="003103E5"/>
    <w:rsid w:val="00312294"/>
    <w:rsid w:val="00322DA4"/>
    <w:rsid w:val="003412AE"/>
    <w:rsid w:val="00345875"/>
    <w:rsid w:val="0035362A"/>
    <w:rsid w:val="00356CE7"/>
    <w:rsid w:val="003A6BE8"/>
    <w:rsid w:val="003B15FA"/>
    <w:rsid w:val="003C3A7D"/>
    <w:rsid w:val="003D1843"/>
    <w:rsid w:val="00403A5B"/>
    <w:rsid w:val="00424045"/>
    <w:rsid w:val="00436D0E"/>
    <w:rsid w:val="00493136"/>
    <w:rsid w:val="004A206F"/>
    <w:rsid w:val="004A6CA3"/>
    <w:rsid w:val="004C010A"/>
    <w:rsid w:val="004D359D"/>
    <w:rsid w:val="004F6DB8"/>
    <w:rsid w:val="004F7DF6"/>
    <w:rsid w:val="005031BF"/>
    <w:rsid w:val="00532B12"/>
    <w:rsid w:val="005426CD"/>
    <w:rsid w:val="005437E5"/>
    <w:rsid w:val="00584D99"/>
    <w:rsid w:val="00592DEE"/>
    <w:rsid w:val="005938C6"/>
    <w:rsid w:val="005A364D"/>
    <w:rsid w:val="005B38C7"/>
    <w:rsid w:val="005C395E"/>
    <w:rsid w:val="005C4083"/>
    <w:rsid w:val="006169F0"/>
    <w:rsid w:val="0064025B"/>
    <w:rsid w:val="00644A6B"/>
    <w:rsid w:val="006453D6"/>
    <w:rsid w:val="0064782E"/>
    <w:rsid w:val="0068708E"/>
    <w:rsid w:val="0069029F"/>
    <w:rsid w:val="00694A12"/>
    <w:rsid w:val="006A3464"/>
    <w:rsid w:val="006C4D34"/>
    <w:rsid w:val="006E1A3F"/>
    <w:rsid w:val="006E1CBC"/>
    <w:rsid w:val="006E2203"/>
    <w:rsid w:val="006E4025"/>
    <w:rsid w:val="006E6865"/>
    <w:rsid w:val="00717621"/>
    <w:rsid w:val="00740FA2"/>
    <w:rsid w:val="00742628"/>
    <w:rsid w:val="00764926"/>
    <w:rsid w:val="007651C3"/>
    <w:rsid w:val="0077637B"/>
    <w:rsid w:val="007771EA"/>
    <w:rsid w:val="00783D49"/>
    <w:rsid w:val="00787C13"/>
    <w:rsid w:val="007A1D52"/>
    <w:rsid w:val="007C3BF6"/>
    <w:rsid w:val="007C4623"/>
    <w:rsid w:val="007E50F2"/>
    <w:rsid w:val="008207C2"/>
    <w:rsid w:val="00826582"/>
    <w:rsid w:val="0083045F"/>
    <w:rsid w:val="00837FC0"/>
    <w:rsid w:val="00846A7D"/>
    <w:rsid w:val="0086070F"/>
    <w:rsid w:val="00877F14"/>
    <w:rsid w:val="008A200C"/>
    <w:rsid w:val="00916B5F"/>
    <w:rsid w:val="009342FC"/>
    <w:rsid w:val="00943514"/>
    <w:rsid w:val="0094361F"/>
    <w:rsid w:val="009617FC"/>
    <w:rsid w:val="009A736F"/>
    <w:rsid w:val="009B045E"/>
    <w:rsid w:val="009D55EF"/>
    <w:rsid w:val="00A0598D"/>
    <w:rsid w:val="00A139E5"/>
    <w:rsid w:val="00A659D8"/>
    <w:rsid w:val="00A74E67"/>
    <w:rsid w:val="00A762E2"/>
    <w:rsid w:val="00A7686C"/>
    <w:rsid w:val="00A86481"/>
    <w:rsid w:val="00A91413"/>
    <w:rsid w:val="00A977F3"/>
    <w:rsid w:val="00AC20AA"/>
    <w:rsid w:val="00AC560D"/>
    <w:rsid w:val="00AC72E0"/>
    <w:rsid w:val="00AC7F80"/>
    <w:rsid w:val="00AD6480"/>
    <w:rsid w:val="00AE13A3"/>
    <w:rsid w:val="00AF1062"/>
    <w:rsid w:val="00B0126C"/>
    <w:rsid w:val="00B021BD"/>
    <w:rsid w:val="00B12A7B"/>
    <w:rsid w:val="00B15FBE"/>
    <w:rsid w:val="00B2614E"/>
    <w:rsid w:val="00B40292"/>
    <w:rsid w:val="00B80B95"/>
    <w:rsid w:val="00B907B5"/>
    <w:rsid w:val="00B92787"/>
    <w:rsid w:val="00BB56E4"/>
    <w:rsid w:val="00BE5EA4"/>
    <w:rsid w:val="00C14C55"/>
    <w:rsid w:val="00C165B6"/>
    <w:rsid w:val="00C21660"/>
    <w:rsid w:val="00C3667D"/>
    <w:rsid w:val="00C46394"/>
    <w:rsid w:val="00C46E41"/>
    <w:rsid w:val="00C52E68"/>
    <w:rsid w:val="00C560B3"/>
    <w:rsid w:val="00C6769D"/>
    <w:rsid w:val="00C72822"/>
    <w:rsid w:val="00C75EAC"/>
    <w:rsid w:val="00CA2701"/>
    <w:rsid w:val="00CB4707"/>
    <w:rsid w:val="00CE33D1"/>
    <w:rsid w:val="00CF058C"/>
    <w:rsid w:val="00CF0A87"/>
    <w:rsid w:val="00D4029D"/>
    <w:rsid w:val="00D5768B"/>
    <w:rsid w:val="00D61E52"/>
    <w:rsid w:val="00D70203"/>
    <w:rsid w:val="00D81E60"/>
    <w:rsid w:val="00D866F9"/>
    <w:rsid w:val="00DA420A"/>
    <w:rsid w:val="00DA4422"/>
    <w:rsid w:val="00DB5E2B"/>
    <w:rsid w:val="00DE0424"/>
    <w:rsid w:val="00DF1517"/>
    <w:rsid w:val="00E03AA9"/>
    <w:rsid w:val="00E111E4"/>
    <w:rsid w:val="00E1186D"/>
    <w:rsid w:val="00E14777"/>
    <w:rsid w:val="00E17645"/>
    <w:rsid w:val="00E36BA9"/>
    <w:rsid w:val="00E43DD9"/>
    <w:rsid w:val="00E507F7"/>
    <w:rsid w:val="00E63FDA"/>
    <w:rsid w:val="00E64A76"/>
    <w:rsid w:val="00E65E5E"/>
    <w:rsid w:val="00E74846"/>
    <w:rsid w:val="00E8334E"/>
    <w:rsid w:val="00E9730B"/>
    <w:rsid w:val="00ED1585"/>
    <w:rsid w:val="00F02E16"/>
    <w:rsid w:val="00F072D9"/>
    <w:rsid w:val="00F20E8D"/>
    <w:rsid w:val="00F25E22"/>
    <w:rsid w:val="00F55796"/>
    <w:rsid w:val="00F660D2"/>
    <w:rsid w:val="00F82FE5"/>
    <w:rsid w:val="00F85E11"/>
    <w:rsid w:val="00F941F5"/>
    <w:rsid w:val="00FA2B2C"/>
    <w:rsid w:val="00FA54A5"/>
    <w:rsid w:val="00FB2EB4"/>
    <w:rsid w:val="00FB3A2D"/>
    <w:rsid w:val="00FC1B86"/>
    <w:rsid w:val="00FD6780"/>
    <w:rsid w:val="00FD7827"/>
    <w:rsid w:val="00FE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B56E4"/>
    <w:rPr>
      <w:rFonts w:ascii="Antiqua" w:eastAsia="Times New Roman" w:hAnsi="Antiqua" w:cs="Antiqua"/>
      <w:sz w:val="26"/>
      <w:szCs w:val="26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56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BB56E4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BB56E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2DEE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DEE"/>
    <w:rPr>
      <w:rFonts w:ascii="Segoe UI" w:hAnsi="Segoe UI" w:cs="Segoe UI"/>
      <w:sz w:val="18"/>
      <w:szCs w:val="18"/>
      <w:lang w:val="uk-UA" w:eastAsia="ru-RU"/>
    </w:rPr>
  </w:style>
  <w:style w:type="paragraph" w:styleId="NormalWeb">
    <w:name w:val="Normal (Web)"/>
    <w:basedOn w:val="Normal"/>
    <w:uiPriority w:val="99"/>
    <w:rsid w:val="0023012D"/>
    <w:pPr>
      <w:spacing w:before="100" w:beforeAutospacing="1" w:after="100" w:afterAutospacing="1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23012D"/>
  </w:style>
  <w:style w:type="paragraph" w:customStyle="1" w:styleId="Style79">
    <w:name w:val="Style79"/>
    <w:basedOn w:val="Normal"/>
    <w:uiPriority w:val="99"/>
    <w:rsid w:val="0023012D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23012D"/>
    <w:rPr>
      <w:rFonts w:ascii="Times New Roman" w:hAnsi="Times New Roman" w:cs="Times New Roman"/>
      <w:sz w:val="16"/>
      <w:szCs w:val="16"/>
    </w:rPr>
  </w:style>
  <w:style w:type="character" w:customStyle="1" w:styleId="rvts0">
    <w:name w:val="rvts0"/>
    <w:uiPriority w:val="99"/>
    <w:rsid w:val="0023012D"/>
  </w:style>
  <w:style w:type="paragraph" w:customStyle="1" w:styleId="2">
    <w:name w:val="Абзац списка2"/>
    <w:basedOn w:val="Normal"/>
    <w:uiPriority w:val="99"/>
    <w:rsid w:val="009D55EF"/>
    <w:pPr>
      <w:suppressAutoHyphens/>
      <w:spacing w:after="160" w:line="254" w:lineRule="auto"/>
      <w:ind w:left="720"/>
    </w:pPr>
    <w:rPr>
      <w:rFonts w:ascii="Calibri" w:eastAsia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sp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.aspx?lang=uk" TargetMode="External"/><Relationship Id="rId11" Type="http://schemas.openxmlformats.org/officeDocument/2006/relationships/hyperlink" Target="file://D:/User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1394</TotalTime>
  <Pages>16</Pages>
  <Words>3445</Words>
  <Characters>19639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Дарья Сергеевна</dc:creator>
  <cp:keywords/>
  <dc:description/>
  <cp:lastModifiedBy>alekseeva</cp:lastModifiedBy>
  <cp:revision>86</cp:revision>
  <cp:lastPrinted>2018-01-19T09:13:00Z</cp:lastPrinted>
  <dcterms:created xsi:type="dcterms:W3CDTF">2017-11-24T10:19:00Z</dcterms:created>
  <dcterms:modified xsi:type="dcterms:W3CDTF">2018-03-13T14:04:00Z</dcterms:modified>
</cp:coreProperties>
</file>